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73DF0EC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4B0F09">
        <w:rPr>
          <w:b/>
          <w:sz w:val="24"/>
          <w:szCs w:val="24"/>
        </w:rPr>
        <w:t>1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10333</w:t>
      </w:r>
    </w:p>
    <w:p w14:paraId="4285CFFB" w14:textId="17631ABF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4B0F09">
        <w:rPr>
          <w:b/>
          <w:sz w:val="24"/>
          <w:szCs w:val="24"/>
        </w:rPr>
        <w:t>5 January</w:t>
      </w:r>
      <w:r w:rsidR="009A0789">
        <w:rPr>
          <w:b/>
          <w:sz w:val="24"/>
          <w:szCs w:val="24"/>
        </w:rPr>
        <w:t xml:space="preserve"> – </w:t>
      </w:r>
      <w:r w:rsidR="004B0F09">
        <w:rPr>
          <w:b/>
          <w:sz w:val="24"/>
          <w:szCs w:val="24"/>
        </w:rPr>
        <w:t>5</w:t>
      </w:r>
      <w:r w:rsidR="009A0789">
        <w:rPr>
          <w:b/>
          <w:sz w:val="24"/>
          <w:szCs w:val="24"/>
        </w:rPr>
        <w:t xml:space="preserve"> </w:t>
      </w:r>
      <w:r w:rsidR="004B0F09">
        <w:rPr>
          <w:b/>
          <w:sz w:val="24"/>
          <w:szCs w:val="24"/>
        </w:rPr>
        <w:t>February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</w:t>
      </w:r>
      <w:r w:rsidR="004B0F09">
        <w:rPr>
          <w:b/>
          <w:sz w:val="24"/>
          <w:szCs w:val="24"/>
        </w:rPr>
        <w:t>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1CFC90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6C5208" w:rsidRPr="006C5208">
        <w:t xml:space="preserve">Reply LS </w:t>
      </w:r>
      <w:r w:rsidR="004B0F09" w:rsidRPr="0029317C">
        <w:t>on small data transmission</w:t>
      </w:r>
    </w:p>
    <w:p w14:paraId="024EE741" w14:textId="5992F4D1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4B0F09" w:rsidRPr="004B0F09">
        <w:t>LS to RAN3 on small data transmission</w:t>
      </w:r>
      <w:r w:rsidR="004B0F09" w:rsidRPr="004B0F09">
        <w:t xml:space="preserve"> </w:t>
      </w:r>
      <w:r>
        <w:t>(R3-2</w:t>
      </w:r>
      <w:r w:rsidR="00C64F54">
        <w:t>10029</w:t>
      </w:r>
      <w:r>
        <w:t>/</w:t>
      </w:r>
      <w:r w:rsidR="004B0F09">
        <w:t>R</w:t>
      </w:r>
      <w:r>
        <w:t>2-20</w:t>
      </w:r>
      <w:r w:rsidR="004B0F09">
        <w:t>10839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1144DDF4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4B0F09" w:rsidRPr="004B0F09">
        <w:rPr>
          <w:color w:val="000000"/>
        </w:rPr>
        <w:t>NR_SmallData_INACTIVE-Core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3D0A5F70" w14:textId="764578DE" w:rsidR="00463675" w:rsidRPr="004B0F09" w:rsidRDefault="00463675" w:rsidP="00A856C3">
      <w:pPr>
        <w:pStyle w:val="Source"/>
      </w:pPr>
      <w:r w:rsidRPr="000F4E43">
        <w:t>To:</w:t>
      </w:r>
      <w:r w:rsidRPr="000F4E43">
        <w:tab/>
      </w:r>
      <w:r w:rsidR="004B0F09">
        <w:t>RAN</w:t>
      </w:r>
      <w:r w:rsidR="00235076">
        <w:t>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0E31E32D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4B0F09">
        <w:rPr>
          <w:rFonts w:ascii="Arial" w:hAnsi="Arial" w:cs="Arial"/>
          <w:color w:val="000000"/>
          <w:lang w:eastAsia="ko-KR"/>
        </w:rPr>
        <w:t>R</w:t>
      </w:r>
      <w:r w:rsidR="007D096B">
        <w:rPr>
          <w:rFonts w:ascii="Arial" w:hAnsi="Arial" w:cs="Arial"/>
          <w:color w:val="000000"/>
          <w:lang w:eastAsia="ko-KR"/>
        </w:rPr>
        <w:t xml:space="preserve">A2 for the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</w:t>
      </w:r>
      <w:r w:rsidR="00C64F54">
        <w:rPr>
          <w:rFonts w:ascii="Arial" w:hAnsi="Arial" w:cs="Arial"/>
          <w:color w:val="000000"/>
          <w:lang w:eastAsia="ko-KR"/>
        </w:rPr>
        <w:t>10029</w:t>
      </w:r>
      <w:r w:rsidR="00757874" w:rsidRPr="00757874">
        <w:rPr>
          <w:rFonts w:ascii="Arial" w:hAnsi="Arial" w:cs="Arial"/>
          <w:color w:val="000000"/>
          <w:lang w:eastAsia="ko-KR"/>
        </w:rPr>
        <w:t>/</w:t>
      </w:r>
      <w:r w:rsidR="004B0F09">
        <w:rPr>
          <w:rFonts w:ascii="Arial" w:hAnsi="Arial" w:cs="Arial"/>
          <w:color w:val="000000"/>
          <w:lang w:eastAsia="ko-KR"/>
        </w:rPr>
        <w:t>R</w:t>
      </w:r>
      <w:r w:rsidR="00757874" w:rsidRPr="00757874">
        <w:rPr>
          <w:rFonts w:ascii="Arial" w:hAnsi="Arial" w:cs="Arial"/>
          <w:color w:val="000000"/>
          <w:lang w:eastAsia="ko-KR"/>
        </w:rPr>
        <w:t>2-2</w:t>
      </w:r>
      <w:r w:rsidR="00C64F54">
        <w:rPr>
          <w:rFonts w:ascii="Arial" w:hAnsi="Arial" w:cs="Arial"/>
          <w:color w:val="000000"/>
          <w:lang w:eastAsia="ko-KR"/>
        </w:rPr>
        <w:t>010839</w:t>
      </w:r>
      <w:r w:rsidR="004B0F09">
        <w:rPr>
          <w:rFonts w:ascii="Arial" w:hAnsi="Arial" w:cs="Arial"/>
          <w:color w:val="000000"/>
          <w:lang w:eastAsia="ko-KR"/>
        </w:rPr>
        <w:t>, informing RAN3 of progress and detailed agreements in SDT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5C8886C5" w14:textId="600FEC11" w:rsidR="004B0F09" w:rsidRDefault="004B0F09">
      <w:pPr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lang w:eastAsia="ko-KR"/>
        </w:rPr>
        <w:t xml:space="preserve">RAN3 confirms that it will be discussing </w:t>
      </w:r>
      <w:r w:rsidRPr="004B0F09">
        <w:rPr>
          <w:rFonts w:ascii="Arial" w:hAnsi="Arial" w:cs="Arial"/>
          <w:color w:val="000000"/>
          <w:lang w:eastAsia="ko-KR"/>
        </w:rPr>
        <w:t>the procedures and possible adaptations related to UE AS context handling for SDT</w:t>
      </w:r>
      <w:r>
        <w:rPr>
          <w:rFonts w:ascii="Arial" w:hAnsi="Arial" w:cs="Arial"/>
          <w:color w:val="000000"/>
          <w:lang w:eastAsia="ko-KR"/>
        </w:rPr>
        <w:t xml:space="preserve"> in the context of the work item on </w:t>
      </w:r>
      <w:r>
        <w:rPr>
          <w:rFonts w:ascii="Arial" w:hAnsi="Arial" w:cs="Arial"/>
          <w:bCs/>
        </w:rPr>
        <w:t>NR Small Data Enhancements</w:t>
      </w:r>
      <w:r>
        <w:rPr>
          <w:rFonts w:ascii="Arial" w:hAnsi="Arial" w:cs="Arial"/>
          <w:bCs/>
        </w:rPr>
        <w:t>. RAN3 would like to note that this work will start formally in RAN3#113bis.</w:t>
      </w:r>
      <w:r w:rsidR="00FD6C1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RAN3 </w:t>
      </w:r>
      <w:r w:rsidR="008310EB">
        <w:rPr>
          <w:rFonts w:ascii="Arial" w:hAnsi="Arial" w:cs="Arial"/>
          <w:bCs/>
        </w:rPr>
        <w:t xml:space="preserve">can </w:t>
      </w:r>
      <w:r w:rsidR="00C64F54">
        <w:rPr>
          <w:rFonts w:ascii="Arial" w:hAnsi="Arial" w:cs="Arial"/>
          <w:bCs/>
        </w:rPr>
        <w:t xml:space="preserve">however </w:t>
      </w:r>
      <w:r w:rsidR="008310EB">
        <w:rPr>
          <w:rFonts w:ascii="Arial" w:hAnsi="Arial" w:cs="Arial"/>
          <w:bCs/>
        </w:rPr>
        <w:t>make some initial observations as follows</w:t>
      </w:r>
      <w:r w:rsidR="00FD6C1C">
        <w:rPr>
          <w:rFonts w:ascii="Arial" w:hAnsi="Arial" w:cs="Arial"/>
          <w:bCs/>
        </w:rPr>
        <w:t>.</w:t>
      </w:r>
    </w:p>
    <w:p w14:paraId="4C80C351" w14:textId="77777777" w:rsidR="008310EB" w:rsidRDefault="008310EB">
      <w:pPr>
        <w:rPr>
          <w:rFonts w:ascii="Arial" w:hAnsi="Arial" w:cs="Arial"/>
          <w:bCs/>
        </w:rPr>
      </w:pPr>
    </w:p>
    <w:p w14:paraId="58E85BE2" w14:textId="72AA932B" w:rsidR="00FD6C1C" w:rsidRDefault="008310EB" w:rsidP="008310E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Pr="008310EB">
        <w:rPr>
          <w:rFonts w:ascii="Arial" w:hAnsi="Arial" w:cs="Arial"/>
          <w:bCs/>
        </w:rPr>
        <w:t xml:space="preserve">the case of anchor relocation, </w:t>
      </w:r>
      <w:r>
        <w:rPr>
          <w:rFonts w:ascii="Arial" w:hAnsi="Arial" w:cs="Arial"/>
          <w:bCs/>
        </w:rPr>
        <w:t xml:space="preserve">the </w:t>
      </w:r>
      <w:r w:rsidRPr="008310EB">
        <w:rPr>
          <w:rFonts w:ascii="Arial" w:hAnsi="Arial" w:cs="Arial"/>
          <w:bCs/>
        </w:rPr>
        <w:t xml:space="preserve">flow is </w:t>
      </w:r>
      <w:r>
        <w:rPr>
          <w:rFonts w:ascii="Arial" w:hAnsi="Arial" w:cs="Arial"/>
          <w:bCs/>
        </w:rPr>
        <w:t>expected to be the same (a</w:t>
      </w:r>
      <w:r w:rsidRPr="008310EB">
        <w:rPr>
          <w:rFonts w:ascii="Arial" w:hAnsi="Arial" w:cs="Arial"/>
          <w:bCs/>
        </w:rPr>
        <w:t>t high level</w:t>
      </w:r>
      <w:r>
        <w:rPr>
          <w:rFonts w:ascii="Arial" w:hAnsi="Arial" w:cs="Arial"/>
          <w:bCs/>
        </w:rPr>
        <w:t>)</w:t>
      </w:r>
      <w:r w:rsidRPr="008310EB">
        <w:rPr>
          <w:rFonts w:ascii="Arial" w:hAnsi="Arial" w:cs="Arial"/>
          <w:bCs/>
        </w:rPr>
        <w:t xml:space="preserve"> as </w:t>
      </w:r>
      <w:r>
        <w:rPr>
          <w:rFonts w:ascii="Arial" w:hAnsi="Arial" w:cs="Arial"/>
          <w:bCs/>
        </w:rPr>
        <w:t xml:space="preserve">in </w:t>
      </w:r>
      <w:r w:rsidRPr="008310EB">
        <w:rPr>
          <w:rFonts w:ascii="Arial" w:hAnsi="Arial" w:cs="Arial"/>
          <w:bCs/>
        </w:rPr>
        <w:t>legacy.</w:t>
      </w:r>
      <w:r>
        <w:rPr>
          <w:rFonts w:ascii="Arial" w:hAnsi="Arial" w:cs="Arial"/>
          <w:bCs/>
        </w:rPr>
        <w:t xml:space="preserve"> For the case of </w:t>
      </w:r>
      <w:r w:rsidRPr="008310EB">
        <w:rPr>
          <w:rFonts w:ascii="Arial" w:hAnsi="Arial" w:cs="Arial"/>
          <w:bCs/>
        </w:rPr>
        <w:t>anchor non-relocation</w:t>
      </w:r>
      <w:r>
        <w:rPr>
          <w:rFonts w:ascii="Arial" w:hAnsi="Arial" w:cs="Arial"/>
          <w:bCs/>
        </w:rPr>
        <w:t>, RAN3 has identified t</w:t>
      </w:r>
      <w:r w:rsidRPr="008310EB">
        <w:rPr>
          <w:rFonts w:ascii="Arial" w:hAnsi="Arial" w:cs="Arial"/>
          <w:bCs/>
        </w:rPr>
        <w:t>hree options depending on which layers are temporarily relocated to the serving gNB (i.e. full context</w:t>
      </w:r>
      <w:r w:rsidR="00552B6F">
        <w:rPr>
          <w:rFonts w:ascii="Arial" w:hAnsi="Arial" w:cs="Arial"/>
          <w:bCs/>
        </w:rPr>
        <w:t xml:space="preserve"> transfer</w:t>
      </w:r>
      <w:r w:rsidRPr="008310EB">
        <w:rPr>
          <w:rFonts w:ascii="Arial" w:hAnsi="Arial" w:cs="Arial"/>
          <w:bCs/>
        </w:rPr>
        <w:t>, RLC configuration only, or no context</w:t>
      </w:r>
      <w:r w:rsidR="00552B6F">
        <w:rPr>
          <w:rFonts w:ascii="Arial" w:hAnsi="Arial" w:cs="Arial"/>
          <w:bCs/>
        </w:rPr>
        <w:t xml:space="preserve"> transfer</w:t>
      </w:r>
      <w:r w:rsidRPr="008310EB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. These options (and/or </w:t>
      </w:r>
      <w:r w:rsidR="00FD6C1C">
        <w:rPr>
          <w:rFonts w:ascii="Arial" w:hAnsi="Arial" w:cs="Arial"/>
          <w:bCs/>
        </w:rPr>
        <w:t>hybrids) require further analysis, and RAN3 is assuming that RAN2 is not dependent on a decision in this topic to make further progress.</w:t>
      </w:r>
    </w:p>
    <w:p w14:paraId="294AF937" w14:textId="77777777" w:rsidR="00FD6C1C" w:rsidRDefault="00FD6C1C" w:rsidP="008310EB">
      <w:pPr>
        <w:rPr>
          <w:rFonts w:ascii="Arial" w:hAnsi="Arial" w:cs="Arial"/>
          <w:bCs/>
        </w:rPr>
      </w:pPr>
    </w:p>
    <w:p w14:paraId="4FA48EAF" w14:textId="25FD26AF" w:rsidR="008310EB" w:rsidRDefault="008310EB" w:rsidP="008310E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also thinks that the </w:t>
      </w:r>
      <w:r w:rsidR="005B71EA">
        <w:rPr>
          <w:rFonts w:ascii="Arial" w:hAnsi="Arial" w:cs="Arial"/>
          <w:bCs/>
        </w:rPr>
        <w:t xml:space="preserve">final </w:t>
      </w:r>
      <w:r>
        <w:rPr>
          <w:rFonts w:ascii="Arial" w:hAnsi="Arial" w:cs="Arial"/>
          <w:bCs/>
        </w:rPr>
        <w:t>de</w:t>
      </w:r>
      <w:r w:rsidRPr="008310EB">
        <w:rPr>
          <w:rFonts w:ascii="Arial" w:hAnsi="Arial" w:cs="Arial"/>
          <w:bCs/>
        </w:rPr>
        <w:t xml:space="preserve">cision on relocation </w:t>
      </w:r>
      <w:r>
        <w:rPr>
          <w:rFonts w:ascii="Arial" w:hAnsi="Arial" w:cs="Arial"/>
          <w:bCs/>
        </w:rPr>
        <w:t xml:space="preserve">should be </w:t>
      </w:r>
      <w:r w:rsidRPr="008310EB">
        <w:rPr>
          <w:rFonts w:ascii="Arial" w:hAnsi="Arial" w:cs="Arial"/>
          <w:bCs/>
        </w:rPr>
        <w:t>taken by the anchor</w:t>
      </w:r>
      <w:r>
        <w:rPr>
          <w:rFonts w:ascii="Arial" w:hAnsi="Arial" w:cs="Arial"/>
          <w:bCs/>
        </w:rPr>
        <w:t xml:space="preserve">, and if so, </w:t>
      </w:r>
      <w:r w:rsidRPr="008310EB">
        <w:rPr>
          <w:rFonts w:ascii="Arial" w:hAnsi="Arial" w:cs="Arial"/>
          <w:bCs/>
        </w:rPr>
        <w:t>assistance data available in the serving gNB should be provided to the anchor gNB</w:t>
      </w:r>
      <w:r>
        <w:rPr>
          <w:rFonts w:ascii="Arial" w:hAnsi="Arial" w:cs="Arial"/>
          <w:bCs/>
        </w:rPr>
        <w:t>.</w:t>
      </w:r>
    </w:p>
    <w:p w14:paraId="019FAC38" w14:textId="659E9923" w:rsidR="008310EB" w:rsidRDefault="008310EB" w:rsidP="008310EB">
      <w:pPr>
        <w:rPr>
          <w:rFonts w:ascii="Arial" w:hAnsi="Arial" w:cs="Arial"/>
          <w:bCs/>
        </w:rPr>
      </w:pPr>
    </w:p>
    <w:p w14:paraId="5287ACDF" w14:textId="27A1615D" w:rsidR="00813FA7" w:rsidRDefault="00FD6C1C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will take the above as baseline considerations when the work starts, and kindly requests RAN2 to provide any further updates as needed</w:t>
      </w:r>
      <w:r w:rsidR="00EB278D">
        <w:rPr>
          <w:rFonts w:ascii="Arial" w:hAnsi="Arial" w:cs="Arial"/>
          <w:color w:val="000000"/>
          <w:lang w:eastAsia="ko-KR"/>
        </w:rPr>
        <w:t>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DF446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0" w:name="_Hlk46227635"/>
      <w:r w:rsidR="00FD6C1C">
        <w:rPr>
          <w:rFonts w:ascii="Arial" w:hAnsi="Arial" w:cs="Arial"/>
          <w:b/>
        </w:rPr>
        <w:t>RAN</w:t>
      </w:r>
      <w:r w:rsidR="00942D93">
        <w:rPr>
          <w:rFonts w:ascii="Arial" w:hAnsi="Arial" w:cs="Arial"/>
          <w:b/>
        </w:rPr>
        <w:t xml:space="preserve"> WG</w:t>
      </w:r>
      <w:r w:rsidR="00942D93" w:rsidRPr="00404109">
        <w:rPr>
          <w:rFonts w:ascii="Arial" w:hAnsi="Arial" w:cs="Arial"/>
          <w:b/>
        </w:rPr>
        <w:t>2</w:t>
      </w:r>
      <w:bookmarkEnd w:id="0"/>
      <w:r w:rsidR="00942D93" w:rsidRPr="00404109">
        <w:rPr>
          <w:rFonts w:ascii="Arial" w:hAnsi="Arial" w:cs="Arial"/>
          <w:b/>
        </w:rPr>
        <w:t>.</w:t>
      </w:r>
    </w:p>
    <w:p w14:paraId="6F2861B9" w14:textId="1C1B3701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D6C1C">
        <w:rPr>
          <w:rFonts w:ascii="Arial" w:hAnsi="Arial" w:cs="Arial"/>
          <w:color w:val="000000"/>
        </w:rPr>
        <w:t>RAN2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needed, indicating dependencies, if any, on RAN3 progress.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06026171" w:rsidR="00342DF7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FD6C1C">
        <w:rPr>
          <w:rFonts w:ascii="Arial" w:hAnsi="Arial" w:cs="Arial"/>
          <w:bCs/>
          <w:lang w:val="sv-SE"/>
        </w:rPr>
        <w:t>2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5B71EA">
        <w:rPr>
          <w:rFonts w:ascii="Arial" w:hAnsi="Arial" w:cs="Arial"/>
          <w:bCs/>
          <w:lang w:val="sv-SE"/>
        </w:rPr>
        <w:t xml:space="preserve">17-28 </w:t>
      </w:r>
      <w:r w:rsidR="00FD6C1C">
        <w:rPr>
          <w:rFonts w:ascii="Arial" w:hAnsi="Arial" w:cs="Arial"/>
          <w:bCs/>
          <w:lang w:val="sv-SE"/>
        </w:rPr>
        <w:t>May</w:t>
      </w:r>
      <w:r w:rsidR="00873F79">
        <w:rPr>
          <w:rFonts w:ascii="Arial" w:hAnsi="Arial" w:cs="Arial"/>
          <w:bCs/>
          <w:lang w:val="sv-SE"/>
        </w:rPr>
        <w:t xml:space="preserve"> 202</w:t>
      </w:r>
      <w:r w:rsidR="005B71EA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p w14:paraId="0E79AD3D" w14:textId="43E6024C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RAN3#113</w:t>
      </w:r>
      <w:r>
        <w:rPr>
          <w:rFonts w:ascii="Arial" w:hAnsi="Arial" w:cs="Arial"/>
          <w:bCs/>
          <w:lang w:val="sv-SE"/>
        </w:rPr>
        <w:tab/>
      </w:r>
      <w:bookmarkStart w:id="1" w:name="_GoBack"/>
      <w:bookmarkEnd w:id="1"/>
      <w:r>
        <w:rPr>
          <w:rFonts w:ascii="Arial" w:hAnsi="Arial" w:cs="Arial"/>
          <w:bCs/>
          <w:lang w:val="sv-SE"/>
        </w:rPr>
        <w:t>August 2021</w:t>
      </w:r>
      <w:r>
        <w:rPr>
          <w:rFonts w:ascii="Arial" w:hAnsi="Arial" w:cs="Arial"/>
          <w:bCs/>
          <w:lang w:val="sv-SE"/>
        </w:rPr>
        <w:tab/>
        <w:t>TBD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41B5A" w14:textId="77777777" w:rsidR="001D2E74" w:rsidRDefault="001D2E74">
      <w:r>
        <w:separator/>
      </w:r>
    </w:p>
  </w:endnote>
  <w:endnote w:type="continuationSeparator" w:id="0">
    <w:p w14:paraId="4E4A0FC2" w14:textId="77777777" w:rsidR="001D2E74" w:rsidRDefault="001D2E74">
      <w:r>
        <w:continuationSeparator/>
      </w:r>
    </w:p>
  </w:endnote>
  <w:endnote w:type="continuationNotice" w:id="1">
    <w:p w14:paraId="0BD61299" w14:textId="77777777" w:rsidR="001D2E74" w:rsidRDefault="001D2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E2541" w14:textId="77777777" w:rsidR="001D2E74" w:rsidRDefault="001D2E74">
      <w:r>
        <w:separator/>
      </w:r>
    </w:p>
  </w:footnote>
  <w:footnote w:type="continuationSeparator" w:id="0">
    <w:p w14:paraId="09EB9A44" w14:textId="77777777" w:rsidR="001D2E74" w:rsidRDefault="001D2E74">
      <w:r>
        <w:continuationSeparator/>
      </w:r>
    </w:p>
  </w:footnote>
  <w:footnote w:type="continuationNotice" w:id="1">
    <w:p w14:paraId="772FC84C" w14:textId="77777777" w:rsidR="001D2E74" w:rsidRDefault="001D2E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1"/>
  </w:num>
  <w:num w:numId="24">
    <w:abstractNumId w:val="24"/>
  </w:num>
  <w:num w:numId="25">
    <w:abstractNumId w:val="16"/>
  </w:num>
  <w:num w:numId="26">
    <w:abstractNumId w:val="23"/>
  </w:num>
  <w:num w:numId="27">
    <w:abstractNumId w:val="26"/>
  </w:num>
  <w:num w:numId="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706B7"/>
    <w:rsid w:val="00570A65"/>
    <w:rsid w:val="00584B08"/>
    <w:rsid w:val="005B71EA"/>
    <w:rsid w:val="005C237F"/>
    <w:rsid w:val="005D1466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19BF"/>
    <w:rsid w:val="00754724"/>
    <w:rsid w:val="00757874"/>
    <w:rsid w:val="00795D8B"/>
    <w:rsid w:val="00795ECA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6DD2"/>
    <w:rsid w:val="00AC2181"/>
    <w:rsid w:val="00AD50B2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D240ED"/>
    <w:rsid w:val="00D43F50"/>
    <w:rsid w:val="00D604DE"/>
    <w:rsid w:val="00D667CB"/>
    <w:rsid w:val="00D87C98"/>
    <w:rsid w:val="00D964D6"/>
    <w:rsid w:val="00DA0364"/>
    <w:rsid w:val="00DA3228"/>
    <w:rsid w:val="00DA744B"/>
    <w:rsid w:val="00DF66E6"/>
    <w:rsid w:val="00E139C1"/>
    <w:rsid w:val="00E430CD"/>
    <w:rsid w:val="00E63B1C"/>
    <w:rsid w:val="00E71F5A"/>
    <w:rsid w:val="00E93BD5"/>
    <w:rsid w:val="00EA65DC"/>
    <w:rsid w:val="00EB10D7"/>
    <w:rsid w:val="00EB278D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82DCF"/>
    <w:rsid w:val="00FA4657"/>
    <w:rsid w:val="00FC2ED2"/>
    <w:rsid w:val="00FC4365"/>
    <w:rsid w:val="00FC441D"/>
    <w:rsid w:val="00FD6C1C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5</cp:revision>
  <cp:lastPrinted>2002-04-23T07:10:00Z</cp:lastPrinted>
  <dcterms:created xsi:type="dcterms:W3CDTF">2020-10-23T06:40:00Z</dcterms:created>
  <dcterms:modified xsi:type="dcterms:W3CDTF">2021-01-14T16:30:00Z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